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14EE7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Technical Specification for Y Model MPO/MTP Trunk Cable (MPO-2*MPO Fanout Trunk Patch Cord)</w:t>
      </w:r>
      <w:bookmarkStart w:id="13" w:name="_GoBack"/>
      <w:bookmarkEnd w:id="13"/>
    </w:p>
    <w:p w14:paraId="589C4277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Overview</w:t>
      </w:r>
      <w:bookmarkEnd w:id="0"/>
    </w:p>
    <w:p w14:paraId="14433E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This technical specification defines the requirements, characteristics, installation guidelines, and performance criteria for the Y Model MPO/MTP Trunk Cable, also referred to as the MPO-2*MPO Fanout Trunk Patch Cord. It serves as a comprehensive reference for the design, application, and deployment of the product in relevant optical communication systems.</w:t>
      </w:r>
    </w:p>
    <w:p w14:paraId="45B39791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2. Applications</w:t>
      </w:r>
      <w:bookmarkEnd w:id="1"/>
    </w:p>
    <w:p w14:paraId="1E1FF98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The Y Model MPO/MTP Trunk Cable (MPO-2*MPO Fanout Trunk Patch Cord) is suitable for use in optical communication networks where high-density signal transmission and flexible connectivity are required. Typical application scenarios include, but are not limited to:</w:t>
      </w:r>
    </w:p>
    <w:p w14:paraId="32BC36F2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Data center backbone connections</w:t>
      </w:r>
    </w:p>
    <w:p w14:paraId="7A1A3513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High-speed local area networks (LANs)</w:t>
      </w:r>
    </w:p>
    <w:p w14:paraId="6081EC56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Telecommunication transmission systems</w:t>
      </w:r>
    </w:p>
    <w:p w14:paraId="5EF0164C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Optical distribution frames (ODFs)</w:t>
      </w:r>
    </w:p>
    <w:p w14:paraId="35A632F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Fiber-to-the-building (FTTB) and fiber-to-the-home (FTTH) networks</w:t>
      </w:r>
    </w:p>
    <w:p w14:paraId="4D4BE7E6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Other high-performance optical communication environments</w:t>
      </w:r>
    </w:p>
    <w:p w14:paraId="0CB8F406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3. Features</w:t>
      </w:r>
      <w:bookmarkEnd w:id="2"/>
    </w:p>
    <w:p w14:paraId="254320CF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Enables efficient fanout of optical signals, providing a reliable connection between a single MPO/MTP interface and two MPO interfaces.</w:t>
      </w:r>
    </w:p>
    <w:p w14:paraId="241C43C6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Designed to support high-speed data transmission, complying with relevant industry standards for bandwidth and signal integrity.</w:t>
      </w:r>
    </w:p>
    <w:p w14:paraId="15227B55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Features robust construction to ensure mechanical durability, resistance to environmental factors (such as temperature variations, moisture, and dust), and long-term stable operation.</w:t>
      </w:r>
    </w:p>
    <w:p w14:paraId="5254296C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Optimized fiber routing and management to minimize signal loss, crosstalk, and other performance-degrading factors.</w:t>
      </w:r>
    </w:p>
    <w:p w14:paraId="152A23E0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Easy to install and maintain, with compatible connectors that ensure secure and precise mating.</w:t>
      </w:r>
    </w:p>
    <w:p w14:paraId="08AACA86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4. Specifications</w:t>
      </w:r>
      <w:bookmarkEnd w:id="3"/>
    </w:p>
    <w:p w14:paraId="2ACEAE66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4.1 Optical Performance</w:t>
      </w:r>
      <w:bookmarkEnd w:id="4"/>
    </w:p>
    <w:p w14:paraId="09DDBCBF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Insertion Loss: Maximum insertion loss shall not exceed [X] dB (typical [Y] dB) at the operating wavelength range.</w:t>
      </w:r>
    </w:p>
    <w:p w14:paraId="6F2D273F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Return Loss: Minimum return loss shall be [Z] dB or higher across the operating wavelength range.</w:t>
      </w:r>
    </w:p>
    <w:p w14:paraId="72AEA214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Operating Wavelength Range: [Specify the applicable wavelength range, e.g., 850 nm, 1310 nm, 1550 nm, or a combination]</w:t>
      </w:r>
    </w:p>
    <w:p w14:paraId="3F656FA9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Polarization Mode Dispersion (PMD): Maximum PMD shall be [A] ps/km or less.</w:t>
      </w:r>
    </w:p>
    <w:p w14:paraId="5A6E2893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4.2 Mechanical Specifications</w:t>
      </w:r>
      <w:bookmarkEnd w:id="5"/>
    </w:p>
    <w:p w14:paraId="776ED7B1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Cable Diameter: [Specify the outer diameter of the cable, e.g., X mm]</w:t>
      </w:r>
    </w:p>
    <w:p w14:paraId="06340F8A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Cable Tensile Strength: Minimum tensile strength shall be [B] N (for short-term installation) and [C] N (for long-term operation).</w:t>
      </w:r>
    </w:p>
    <w:p w14:paraId="0B18FEC2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Bend Radius: Minimum bend radius shall be [D] mm (static) and [E] mm (dynamic).</w:t>
      </w:r>
    </w:p>
    <w:p w14:paraId="47932EDC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Connector Type: MPO/MTP connectors (male/female as specified) with compatible keying and polarity options.</w:t>
      </w:r>
    </w:p>
    <w:p w14:paraId="0A9C4D81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Connector Durability: Minimum number of mating cycles shall be [F] times without significant degradation in performance.</w:t>
      </w:r>
    </w:p>
    <w:p w14:paraId="48050D5C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4.3 Environmental Specifications</w:t>
      </w:r>
      <w:bookmarkEnd w:id="6"/>
    </w:p>
    <w:p w14:paraId="64DBFE23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Operating Temperature Range: [-G] °C to [H] °C</w:t>
      </w:r>
    </w:p>
    <w:p w14:paraId="1B48C66D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Storage Temperature Range: [-I] °C to [J] °C</w:t>
      </w:r>
    </w:p>
    <w:p w14:paraId="1CE0F802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Relative Humidity: [K]% to [L]% (non-condensing)</w:t>
      </w:r>
    </w:p>
    <w:p w14:paraId="06DC8863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Resistance to Chemicals: Compatible with common environmental chemicals and substances as per industry standards.</w:t>
      </w:r>
    </w:p>
    <w:p w14:paraId="6D846773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4.4 Fiber Specifications</w:t>
      </w:r>
      <w:bookmarkEnd w:id="7"/>
    </w:p>
    <w:p w14:paraId="0C9F2F3F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Type: [Specify the fiber type, e.g., single-mode fiber (SMF), multi-mode fiber (MMF) such as OM3, OM4, etc.]</w:t>
      </w:r>
    </w:p>
    <w:p w14:paraId="68F81FAD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Count: [Specify the number of fibers in the cable, e.g., 12 fibers, 24 fibers, etc.]</w:t>
      </w:r>
    </w:p>
    <w:p w14:paraId="275488CC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Cladding Diameter: [M] μm</w:t>
      </w:r>
    </w:p>
    <w:p w14:paraId="08208F9F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Core Diameter: [N] μm (for single-mode) or [O] μm (for multi-mode)</w:t>
      </w:r>
    </w:p>
    <w:p w14:paraId="2341AD48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Numerical Aperture (NA): [P] (typical value)</w:t>
      </w:r>
    </w:p>
    <w:p w14:paraId="3D78103A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5. Assembly Requirements</w:t>
      </w:r>
      <w:bookmarkEnd w:id="8"/>
    </w:p>
    <w:p w14:paraId="60B0686F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All components (fibers, connectors, cable jacket, etc.) shall be sourced from qualified suppliers and meet the specified material and performance requirements.</w:t>
      </w:r>
    </w:p>
    <w:p w14:paraId="32EF56F0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The assembly process shall be carried out in a cleanroom environment to prevent contamination of fibers and connectors, ensuring optimal optical performance.</w:t>
      </w:r>
    </w:p>
    <w:p w14:paraId="19A0DFCB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splicing (if applicable) shall be performed with precision, with splice loss not exceeding [Q] dB per splice.</w:t>
      </w:r>
    </w:p>
    <w:p w14:paraId="7D47A98D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Connectors shall be properly terminated, polished, and inspected to ensure compliance with optical and mechanical specifications.</w:t>
      </w:r>
    </w:p>
    <w:p w14:paraId="1A63219A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After assembly, each cable shall undergo a comprehensive testing process to verify insertion loss, return loss, and other key performance parameters.</w:t>
      </w:r>
    </w:p>
    <w:p w14:paraId="1ED015B4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The finished product shall be labeled with relevant information (e.g., fiber type, wavelength range, part number - if not restricted, date of manufacture) for traceability.</w:t>
      </w:r>
    </w:p>
    <w:p w14:paraId="5AC21F84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6. Installation Manual</w:t>
      </w:r>
      <w:bookmarkEnd w:id="9"/>
    </w:p>
    <w:p w14:paraId="20D6CC49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6.1 Pre-Installation Preparation</w:t>
      </w:r>
      <w:bookmarkEnd w:id="10"/>
    </w:p>
    <w:p w14:paraId="75CC1FB3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Inspect the cable and connectors for any visible damage, contamination, or defects before installation.</w:t>
      </w:r>
    </w:p>
    <w:p w14:paraId="5D7496A9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Verify that the installation environment meets the product's environmental specifications.</w:t>
      </w:r>
    </w:p>
    <w:p w14:paraId="75FFADFF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Prepare the necessary tools and equipment, including cleaning tools for connectors, cable routing hardware, and testing instruments.</w:t>
      </w:r>
    </w:p>
    <w:p w14:paraId="472CC734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Ensure that the mating interfaces (ports) are clean, dry, and free from debris.</w:t>
      </w:r>
    </w:p>
    <w:p w14:paraId="40CE11D7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6.2 Installation Steps</w:t>
      </w:r>
      <w:bookmarkEnd w:id="11"/>
    </w:p>
    <w:p w14:paraId="65C29C14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Plan the cable routing path to avoid sharp bends, excessive tension, and exposure to harsh environmental conditions. Ensure compliance with the minimum bend radius requirements during routing.</w:t>
      </w:r>
    </w:p>
    <w:p w14:paraId="0F936577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Clean the connectors of the trunk cable and the mating ports using approved cleaning methods and materials to remove dust, oil, or other contaminants.</w:t>
      </w:r>
    </w:p>
    <w:p w14:paraId="4326FA4F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Align the connector key with the mating port keyway and insert the connector firmly until a positive click is heard, indicating a secure connection.</w:t>
      </w:r>
    </w:p>
    <w:p w14:paraId="658BDB1D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Avoid applying excessive force during insertion or removal of connectors to prevent damage to the connector ferrule or mating port.</w:t>
      </w:r>
    </w:p>
    <w:p w14:paraId="1297E2AF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Secure the cable in place using appropriate cable ties, clamps, or other routing hardware, ensuring that the cable is not subjected to unnecessary stress.</w:t>
      </w:r>
    </w:p>
    <w:p w14:paraId="253943A4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After installation, perform a post-installation test to verify the optical performance of the cable, ensuring that insertion loss and return loss are within the specified limits.</w:t>
      </w:r>
    </w:p>
    <w:p w14:paraId="23AB0F69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6.3 Maintenance and Inspection</w:t>
      </w:r>
      <w:bookmarkEnd w:id="12"/>
    </w:p>
    <w:p w14:paraId="6E662DAC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Regularly inspect the cable and connectors for signs of damage, wear, or contamination.</w:t>
      </w:r>
    </w:p>
    <w:p w14:paraId="2CB5AAA1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Clean the connectors periodically using approved cleaning procedures to maintain optimal performance.</w:t>
      </w:r>
    </w:p>
    <w:p w14:paraId="059BD53D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If any performance degradation or damage is detected, replace the cable or affected components promptly.</w:t>
      </w:r>
    </w:p>
    <w:p w14:paraId="04C4C017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Avoid exposing the cable to extreme temperatures, moisture, or physical abuse during operation and maintenance.</w:t>
      </w:r>
    </w:p>
    <w:p w14:paraId="5D3ACA8D">
      <w:pPr>
        <w:spacing w:line="299" w:lineRule="auto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5E29AB5A"/>
    <w:multiLevelType w:val="singleLevel"/>
    <w:tmpl w:val="5E29AB5A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0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79AA4FA4"/>
    <w:multiLevelType w:val="singleLevel"/>
    <w:tmpl w:val="79AA4FA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7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37"/>
  </w:num>
  <w:num w:numId="4">
    <w:abstractNumId w:val="13"/>
  </w:num>
  <w:num w:numId="5">
    <w:abstractNumId w:val="9"/>
  </w:num>
  <w:num w:numId="6">
    <w:abstractNumId w:val="23"/>
  </w:num>
  <w:num w:numId="7">
    <w:abstractNumId w:val="28"/>
  </w:num>
  <w:num w:numId="8">
    <w:abstractNumId w:val="43"/>
  </w:num>
  <w:num w:numId="9">
    <w:abstractNumId w:val="22"/>
  </w:num>
  <w:num w:numId="10">
    <w:abstractNumId w:val="5"/>
  </w:num>
  <w:num w:numId="11">
    <w:abstractNumId w:val="29"/>
  </w:num>
  <w:num w:numId="12">
    <w:abstractNumId w:val="38"/>
  </w:num>
  <w:num w:numId="13">
    <w:abstractNumId w:val="14"/>
  </w:num>
  <w:num w:numId="14">
    <w:abstractNumId w:val="34"/>
  </w:num>
  <w:num w:numId="15">
    <w:abstractNumId w:val="19"/>
  </w:num>
  <w:num w:numId="16">
    <w:abstractNumId w:val="27"/>
  </w:num>
  <w:num w:numId="17">
    <w:abstractNumId w:val="17"/>
  </w:num>
  <w:num w:numId="18">
    <w:abstractNumId w:val="16"/>
  </w:num>
  <w:num w:numId="19">
    <w:abstractNumId w:val="7"/>
  </w:num>
  <w:num w:numId="20">
    <w:abstractNumId w:val="33"/>
  </w:num>
  <w:num w:numId="21">
    <w:abstractNumId w:val="41"/>
  </w:num>
  <w:num w:numId="22">
    <w:abstractNumId w:val="24"/>
  </w:num>
  <w:num w:numId="23">
    <w:abstractNumId w:val="32"/>
  </w:num>
  <w:num w:numId="24">
    <w:abstractNumId w:val="8"/>
  </w:num>
  <w:num w:numId="25">
    <w:abstractNumId w:val="47"/>
  </w:num>
  <w:num w:numId="26">
    <w:abstractNumId w:val="45"/>
  </w:num>
  <w:num w:numId="27">
    <w:abstractNumId w:val="12"/>
  </w:num>
  <w:num w:numId="28">
    <w:abstractNumId w:val="42"/>
  </w:num>
  <w:num w:numId="29">
    <w:abstractNumId w:val="6"/>
  </w:num>
  <w:num w:numId="30">
    <w:abstractNumId w:val="31"/>
  </w:num>
  <w:num w:numId="31">
    <w:abstractNumId w:val="2"/>
  </w:num>
  <w:num w:numId="32">
    <w:abstractNumId w:val="36"/>
  </w:num>
  <w:num w:numId="33">
    <w:abstractNumId w:val="48"/>
  </w:num>
  <w:num w:numId="34">
    <w:abstractNumId w:val="0"/>
  </w:num>
  <w:num w:numId="35">
    <w:abstractNumId w:val="26"/>
  </w:num>
  <w:num w:numId="36">
    <w:abstractNumId w:val="35"/>
  </w:num>
  <w:num w:numId="37">
    <w:abstractNumId w:val="20"/>
  </w:num>
  <w:num w:numId="38">
    <w:abstractNumId w:val="18"/>
  </w:num>
  <w:num w:numId="39">
    <w:abstractNumId w:val="30"/>
  </w:num>
  <w:num w:numId="40">
    <w:abstractNumId w:val="46"/>
  </w:num>
  <w:num w:numId="41">
    <w:abstractNumId w:val="11"/>
  </w:num>
  <w:num w:numId="42">
    <w:abstractNumId w:val="4"/>
  </w:num>
  <w:num w:numId="43">
    <w:abstractNumId w:val="10"/>
  </w:num>
  <w:num w:numId="44">
    <w:abstractNumId w:val="39"/>
  </w:num>
  <w:num w:numId="45">
    <w:abstractNumId w:val="1"/>
  </w:num>
  <w:num w:numId="46">
    <w:abstractNumId w:val="25"/>
  </w:num>
  <w:num w:numId="47">
    <w:abstractNumId w:val="3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DB27C80"/>
    <w:rsid w:val="19DF0337"/>
    <w:rsid w:val="2FFE2B47"/>
    <w:rsid w:val="439B3F3F"/>
    <w:rsid w:val="4AF50346"/>
    <w:rsid w:val="4EFF0D41"/>
    <w:rsid w:val="55FDD6DD"/>
    <w:rsid w:val="656E44F8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TotalTime>0</TotalTime>
  <ScaleCrop>false</ScaleCrop>
  <LinksUpToDate>false</LinksUpToDate>
  <CharactersWithSpaces>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Charles</cp:lastModifiedBy>
  <dcterms:modified xsi:type="dcterms:W3CDTF">2026-01-29T08:00:52Z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6652CA2A962D4465B70FD28B10CCA884_13</vt:lpwstr>
  </property>
  <property fmtid="{D5CDD505-2E9C-101B-9397-08002B2CF9AE}" pid="6" name="KSOTemplateDocerSaveRecord">
    <vt:lpwstr>eyJoZGlkIjoiN2U3ZDMzNjM4NDk0YzkwZDVmNDAyNmQzNzg5MTE3NmIiLCJ1c2VySWQiOiI1MTA4NTc2MTkifQ==</vt:lpwstr>
  </property>
</Properties>
</file>